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DA1" w:rsidRDefault="00B41DA1" w:rsidP="00B41DA1">
      <w:pPr>
        <w:pStyle w:val="NormalWeb"/>
        <w:shd w:val="clear" w:color="auto" w:fill="E6E6E6"/>
        <w:spacing w:before="0" w:beforeAutospacing="0" w:after="0" w:afterAutospacing="0"/>
        <w:ind w:firstLine="720"/>
        <w:rPr>
          <w:rFonts w:ascii="Georgia" w:hAnsi="Georgia"/>
          <w:color w:val="111111"/>
          <w:sz w:val="23"/>
          <w:szCs w:val="23"/>
        </w:rPr>
      </w:pPr>
      <w:r>
        <w:rPr>
          <w:color w:val="111111"/>
          <w:sz w:val="32"/>
          <w:szCs w:val="32"/>
          <w:bdr w:val="none" w:sz="0" w:space="0" w:color="auto" w:frame="1"/>
        </w:rPr>
        <w:t xml:space="preserve">Michael student: </w:t>
      </w:r>
      <w:r>
        <w:rPr>
          <w:color w:val="111111"/>
          <w:sz w:val="23"/>
          <w:szCs w:val="23"/>
          <w:bdr w:val="none" w:sz="0" w:space="0" w:color="auto" w:frame="1"/>
        </w:rPr>
        <w:t>Osteogenesis Imperfecta (OI) is a genetic bone disorder characterized by fragile bones that break easily. It is also known as “brittle bone disease.” The term literally means “bone that is imperfectly made from the beginning of life.” A person is born with this disorder and is affected throughout his or her life time. If we consider a system with two compartments separated by a semi selective membrane and containing two solutions of different concentrations, osmosis results in a water flow directed from the dilute solution to the concentrated solution (</w:t>
      </w:r>
      <w:proofErr w:type="spellStart"/>
      <w:r>
        <w:rPr>
          <w:color w:val="111111"/>
          <w:sz w:val="23"/>
          <w:szCs w:val="23"/>
          <w:bdr w:val="none" w:sz="0" w:space="0" w:color="auto" w:frame="1"/>
        </w:rPr>
        <w:t>Sellami</w:t>
      </w:r>
      <w:proofErr w:type="spellEnd"/>
      <w:r>
        <w:rPr>
          <w:color w:val="111111"/>
          <w:sz w:val="23"/>
          <w:szCs w:val="23"/>
          <w:bdr w:val="none" w:sz="0" w:space="0" w:color="auto" w:frame="1"/>
        </w:rPr>
        <w:t xml:space="preserve">, 2017). Osteogenesis imperfecta (OI) or Brittle Bone Disease is a complicated, variable and rare disorder. Its major feature is a fragile skeleton, but many other body systems are also affected. OI is caused by a mutation (change) in a gene that affects bone formation, bone strength and the structure of other tissues. It is a life-long disorder. OI occurs equally among males and females and in all racial groups. It is estimated that approximately 25,000 to 50,000 people in the U.S. have OI. With good medical management and supportive care, </w:t>
      </w:r>
      <w:proofErr w:type="gramStart"/>
      <w:r>
        <w:rPr>
          <w:color w:val="111111"/>
          <w:sz w:val="23"/>
          <w:szCs w:val="23"/>
          <w:bdr w:val="none" w:sz="0" w:space="0" w:color="auto" w:frame="1"/>
        </w:rPr>
        <w:t>the majority of</w:t>
      </w:r>
      <w:proofErr w:type="gramEnd"/>
      <w:r>
        <w:rPr>
          <w:color w:val="111111"/>
          <w:sz w:val="23"/>
          <w:szCs w:val="23"/>
          <w:bdr w:val="none" w:sz="0" w:space="0" w:color="auto" w:frame="1"/>
        </w:rPr>
        <w:t xml:space="preserve"> people who have OI will lead healthy, productive lives and can expect an average life span. People with OI experience frequent broken bones from infancy through puberty. The frequency typically decreases in the young adult years but may increase again later in life. Respiratory problems including asthma are often seen. Other medical characteristics and issues include. However, with the symptoms that overlap with external heat illness (EHI), it is important to be able to differentiate EHI from EAH. Mild EAH includes symptoms of dizziness, weakness, nausea, and headache. Severe EAH, or EAHE, presented with symptoms of vomiting, confusion, agitation, and seizures are consistent with severe symptoms and brain involvement (Robert, 2018).</w:t>
      </w:r>
    </w:p>
    <w:p w:rsidR="00B41DA1" w:rsidRDefault="00B41DA1" w:rsidP="00B41DA1">
      <w:pPr>
        <w:pStyle w:val="NormalWeb"/>
        <w:shd w:val="clear" w:color="auto" w:fill="E6E6E6"/>
        <w:spacing w:before="0" w:beforeAutospacing="0" w:after="0" w:afterAutospacing="0"/>
        <w:ind w:firstLine="720"/>
        <w:rPr>
          <w:rFonts w:ascii="Georgia" w:hAnsi="Georgia"/>
          <w:color w:val="111111"/>
          <w:sz w:val="23"/>
          <w:szCs w:val="23"/>
        </w:rPr>
      </w:pPr>
      <w:proofErr w:type="spellStart"/>
      <w:r>
        <w:rPr>
          <w:color w:val="111111"/>
          <w:sz w:val="23"/>
          <w:szCs w:val="23"/>
          <w:bdr w:val="none" w:sz="0" w:space="0" w:color="auto" w:frame="1"/>
        </w:rPr>
        <w:t>Fibrodysplasia</w:t>
      </w:r>
      <w:proofErr w:type="spellEnd"/>
      <w:r>
        <w:rPr>
          <w:color w:val="111111"/>
          <w:sz w:val="23"/>
          <w:szCs w:val="23"/>
          <w:bdr w:val="none" w:sz="0" w:space="0" w:color="auto" w:frame="1"/>
        </w:rPr>
        <w:t xml:space="preserve"> ossificans </w:t>
      </w:r>
      <w:proofErr w:type="spellStart"/>
      <w:r>
        <w:rPr>
          <w:color w:val="111111"/>
          <w:sz w:val="23"/>
          <w:szCs w:val="23"/>
          <w:bdr w:val="none" w:sz="0" w:space="0" w:color="auto" w:frame="1"/>
        </w:rPr>
        <w:t>progressiva</w:t>
      </w:r>
      <w:proofErr w:type="spellEnd"/>
      <w:r>
        <w:rPr>
          <w:color w:val="111111"/>
          <w:sz w:val="23"/>
          <w:szCs w:val="23"/>
          <w:bdr w:val="none" w:sz="0" w:space="0" w:color="auto" w:frame="1"/>
        </w:rPr>
        <w:t> (FOP) is a disorder in which muscle tissue and connective tissue such as tendons and ligaments are gradually replaced by bone (ossified), forming bone outside the skeleton (extra-skeletal or heterotopic bone) that constrains movement. This process generally becomes noticeable in early childhood, starting with the neck and shoulders and proceeding down the body and into the limbs.</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xml:space="preserve">Extra-skeletal bone formation causes progressive loss of mobility as the joints become affected. Inability to fully open the mouth may cause difficulty in speaking and eating. Over time, people with this disorder may experience malnutrition due to their eating problems. They may also have breathing difficulties </w:t>
      </w:r>
      <w:proofErr w:type="gramStart"/>
      <w:r>
        <w:rPr>
          <w:color w:val="111111"/>
          <w:sz w:val="23"/>
          <w:szCs w:val="23"/>
          <w:bdr w:val="none" w:sz="0" w:space="0" w:color="auto" w:frame="1"/>
        </w:rPr>
        <w:t>as a result of</w:t>
      </w:r>
      <w:proofErr w:type="gramEnd"/>
      <w:r>
        <w:rPr>
          <w:color w:val="111111"/>
          <w:sz w:val="23"/>
          <w:szCs w:val="23"/>
          <w:bdr w:val="none" w:sz="0" w:space="0" w:color="auto" w:frame="1"/>
        </w:rPr>
        <w:t xml:space="preserve"> extra bone formation around the rib cage that restricts expansion of the lungs. Apart from the coastal water level set-up or set-down caused by remote wind, local wind directly acts on water surface. It alters the vertical distribution of velocity through Ekman transport, then changes the mixing state of water (Pan, 2018). Any trauma to the muscles of an individual with </w:t>
      </w:r>
      <w:proofErr w:type="spellStart"/>
      <w:r>
        <w:rPr>
          <w:color w:val="111111"/>
          <w:sz w:val="23"/>
          <w:szCs w:val="23"/>
          <w:bdr w:val="none" w:sz="0" w:space="0" w:color="auto" w:frame="1"/>
        </w:rPr>
        <w:t>fibrodysplasia</w:t>
      </w:r>
      <w:proofErr w:type="spellEnd"/>
      <w:r>
        <w:rPr>
          <w:color w:val="111111"/>
          <w:sz w:val="23"/>
          <w:szCs w:val="23"/>
          <w:bdr w:val="none" w:sz="0" w:space="0" w:color="auto" w:frame="1"/>
        </w:rPr>
        <w:t xml:space="preserve"> ossificans </w:t>
      </w:r>
      <w:proofErr w:type="spellStart"/>
      <w:r>
        <w:rPr>
          <w:color w:val="111111"/>
          <w:sz w:val="23"/>
          <w:szCs w:val="23"/>
          <w:bdr w:val="none" w:sz="0" w:space="0" w:color="auto" w:frame="1"/>
        </w:rPr>
        <w:t>progressiva</w:t>
      </w:r>
      <w:proofErr w:type="spellEnd"/>
      <w:r>
        <w:rPr>
          <w:color w:val="111111"/>
          <w:sz w:val="23"/>
          <w:szCs w:val="23"/>
          <w:bdr w:val="none" w:sz="0" w:space="0" w:color="auto" w:frame="1"/>
        </w:rPr>
        <w:t>, such as a fall or invasive medical procedures, may trigger episodes of muscle swelling and inflammation (myositis) followed by more rapid ossification in the injured area. Flare-ups may also be caused by viral illnesses such as influenza. People with </w:t>
      </w:r>
      <w:proofErr w:type="spellStart"/>
      <w:r>
        <w:rPr>
          <w:color w:val="111111"/>
          <w:sz w:val="23"/>
          <w:szCs w:val="23"/>
          <w:bdr w:val="none" w:sz="0" w:space="0" w:color="auto" w:frame="1"/>
        </w:rPr>
        <w:t>fibrodysplasia</w:t>
      </w:r>
      <w:proofErr w:type="spellEnd"/>
      <w:r>
        <w:rPr>
          <w:color w:val="111111"/>
          <w:sz w:val="23"/>
          <w:szCs w:val="23"/>
          <w:bdr w:val="none" w:sz="0" w:space="0" w:color="auto" w:frame="1"/>
        </w:rPr>
        <w:t xml:space="preserve"> ossificans </w:t>
      </w:r>
      <w:proofErr w:type="spellStart"/>
      <w:r>
        <w:rPr>
          <w:color w:val="111111"/>
          <w:sz w:val="23"/>
          <w:szCs w:val="23"/>
          <w:bdr w:val="none" w:sz="0" w:space="0" w:color="auto" w:frame="1"/>
        </w:rPr>
        <w:t>progressiva</w:t>
      </w:r>
      <w:proofErr w:type="spellEnd"/>
      <w:r>
        <w:rPr>
          <w:color w:val="111111"/>
          <w:sz w:val="23"/>
          <w:szCs w:val="23"/>
          <w:bdr w:val="none" w:sz="0" w:space="0" w:color="auto" w:frame="1"/>
        </w:rPr>
        <w:t> are generally born with malformed big toes. This abnormality of the big toes is a characteristic feature that helps to distinguish this disorder from other bone and muscle problems. Affected individuals may also have short thumbs and other skeletal abnormalities.</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xml:space="preserve">Pan, M. 2018 Influence of Typhoon Path on Salt Water Intrusion in the </w:t>
      </w:r>
      <w:proofErr w:type="spellStart"/>
      <w:r>
        <w:rPr>
          <w:color w:val="111111"/>
          <w:sz w:val="23"/>
          <w:szCs w:val="23"/>
          <w:bdr w:val="none" w:sz="0" w:space="0" w:color="auto" w:frame="1"/>
        </w:rPr>
        <w:t>Modaomen</w:t>
      </w:r>
      <w:proofErr w:type="spellEnd"/>
      <w:r>
        <w:rPr>
          <w:color w:val="111111"/>
          <w:sz w:val="23"/>
          <w:szCs w:val="23"/>
          <w:bdr w:val="none" w:sz="0" w:space="0" w:color="auto" w:frame="1"/>
        </w:rPr>
        <w:t xml:space="preserve"> Waterway, China</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Robert, C. 2018 Collapse in the Heat – From Over hydration to the Emergency Room – Three Cases of Exercise-Associated Hyponatremia Associated with Exertional Heat Illness</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23"/>
          <w:szCs w:val="23"/>
          <w:bdr w:val="none" w:sz="0" w:space="0" w:color="auto" w:frame="1"/>
        </w:rPr>
        <w:t> </w:t>
      </w:r>
    </w:p>
    <w:p w:rsidR="00B41DA1" w:rsidRDefault="00B41DA1" w:rsidP="00B41DA1">
      <w:pPr>
        <w:pStyle w:val="NormalWeb"/>
        <w:shd w:val="clear" w:color="auto" w:fill="E6E6E6"/>
        <w:spacing w:before="0" w:beforeAutospacing="0" w:after="0" w:afterAutospacing="0"/>
        <w:rPr>
          <w:rFonts w:ascii="Georgia" w:hAnsi="Georgia"/>
          <w:color w:val="111111"/>
          <w:sz w:val="23"/>
          <w:szCs w:val="23"/>
        </w:rPr>
      </w:pPr>
      <w:r>
        <w:rPr>
          <w:color w:val="111111"/>
          <w:sz w:val="32"/>
          <w:szCs w:val="32"/>
          <w:bdr w:val="none" w:sz="0" w:space="0" w:color="auto" w:frame="1"/>
        </w:rPr>
        <w:lastRenderedPageBreak/>
        <w:t xml:space="preserve">Katherine beck: </w:t>
      </w:r>
      <w:bookmarkStart w:id="0" w:name="_GoBack"/>
      <w:bookmarkEnd w:id="0"/>
      <w:proofErr w:type="spellStart"/>
      <w:r>
        <w:rPr>
          <w:color w:val="111111"/>
          <w:sz w:val="23"/>
          <w:szCs w:val="23"/>
          <w:bdr w:val="none" w:sz="0" w:space="0" w:color="auto" w:frame="1"/>
        </w:rPr>
        <w:t>Sellami</w:t>
      </w:r>
      <w:proofErr w:type="spellEnd"/>
      <w:r>
        <w:rPr>
          <w:color w:val="111111"/>
          <w:sz w:val="23"/>
          <w:szCs w:val="23"/>
          <w:bdr w:val="none" w:sz="0" w:space="0" w:color="auto" w:frame="1"/>
        </w:rPr>
        <w:t>, A. 2017 Diagnosis of reverse osmosis desalination water system using bond graph approach</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There are many disorders that affect the bones. Two of these are Osteogenesis imperfecta and </w:t>
      </w:r>
      <w:proofErr w:type="spellStart"/>
      <w:r>
        <w:rPr>
          <w:rFonts w:ascii="Georgia" w:hAnsi="Georgia"/>
          <w:color w:val="111111"/>
          <w:sz w:val="23"/>
          <w:szCs w:val="23"/>
        </w:rPr>
        <w:t>Fibrodysplasia</w:t>
      </w:r>
      <w:proofErr w:type="spellEnd"/>
      <w:r>
        <w:rPr>
          <w:rFonts w:ascii="Georgia" w:hAnsi="Georgia"/>
          <w:color w:val="111111"/>
          <w:sz w:val="23"/>
          <w:szCs w:val="23"/>
        </w:rPr>
        <w:t xml:space="preserve"> ossificans </w:t>
      </w:r>
      <w:proofErr w:type="spellStart"/>
      <w:r>
        <w:rPr>
          <w:rFonts w:ascii="Georgia" w:hAnsi="Georgia"/>
          <w:color w:val="111111"/>
          <w:sz w:val="23"/>
          <w:szCs w:val="23"/>
        </w:rPr>
        <w:t>progressiva</w:t>
      </w:r>
      <w:proofErr w:type="spellEnd"/>
      <w:r>
        <w:rPr>
          <w:rFonts w:ascii="Georgia" w:hAnsi="Georgia"/>
          <w:color w:val="111111"/>
          <w:sz w:val="23"/>
          <w:szCs w:val="23"/>
        </w:rPr>
        <w:t>. Osteogenesis imperfecta (OI) is often referred to as brittle bone disease. It is a genetically inherited group of heterogeneous connective tissue disorders. The result is an increase in bone fragility and recurrent fractures. Assessing the bone density is the most common form of assessing and monitoring the disease. The goal of treating Osteogenesis Imperfecta is to prevent or control the symptoms such as decreasing fracture rate, relieving bone pain, as well as improving bone mineral mass and muscle strength.</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proofErr w:type="spellStart"/>
      <w:r>
        <w:rPr>
          <w:rFonts w:ascii="Georgia" w:hAnsi="Georgia"/>
          <w:color w:val="111111"/>
          <w:sz w:val="23"/>
          <w:szCs w:val="23"/>
        </w:rPr>
        <w:t>Fibrodysplasia</w:t>
      </w:r>
      <w:proofErr w:type="spellEnd"/>
      <w:r>
        <w:rPr>
          <w:rFonts w:ascii="Georgia" w:hAnsi="Georgia"/>
          <w:color w:val="111111"/>
          <w:sz w:val="23"/>
          <w:szCs w:val="23"/>
        </w:rPr>
        <w:t xml:space="preserve"> Ossificans </w:t>
      </w:r>
      <w:proofErr w:type="spellStart"/>
      <w:r>
        <w:rPr>
          <w:rFonts w:ascii="Georgia" w:hAnsi="Georgia"/>
          <w:color w:val="111111"/>
          <w:sz w:val="23"/>
          <w:szCs w:val="23"/>
        </w:rPr>
        <w:t>Progressiva</w:t>
      </w:r>
      <w:proofErr w:type="spellEnd"/>
      <w:r>
        <w:rPr>
          <w:rFonts w:ascii="Georgia" w:hAnsi="Georgia"/>
          <w:color w:val="111111"/>
          <w:sz w:val="23"/>
          <w:szCs w:val="23"/>
        </w:rPr>
        <w:t xml:space="preserve"> (FOP) is also known as </w:t>
      </w:r>
      <w:proofErr w:type="spellStart"/>
      <w:r>
        <w:rPr>
          <w:rFonts w:ascii="Georgia" w:hAnsi="Georgia"/>
          <w:color w:val="111111"/>
          <w:sz w:val="23"/>
          <w:szCs w:val="23"/>
        </w:rPr>
        <w:t>myostitis</w:t>
      </w:r>
      <w:proofErr w:type="spellEnd"/>
      <w:r>
        <w:rPr>
          <w:rFonts w:ascii="Georgia" w:hAnsi="Georgia"/>
          <w:color w:val="111111"/>
          <w:sz w:val="23"/>
          <w:szCs w:val="23"/>
        </w:rPr>
        <w:t xml:space="preserve"> ossificans </w:t>
      </w:r>
      <w:proofErr w:type="spellStart"/>
      <w:r>
        <w:rPr>
          <w:rFonts w:ascii="Georgia" w:hAnsi="Georgia"/>
          <w:color w:val="111111"/>
          <w:sz w:val="23"/>
          <w:szCs w:val="23"/>
        </w:rPr>
        <w:t>progressiva</w:t>
      </w:r>
      <w:proofErr w:type="spellEnd"/>
      <w:r>
        <w:rPr>
          <w:rFonts w:ascii="Georgia" w:hAnsi="Georgia"/>
          <w:color w:val="111111"/>
          <w:sz w:val="23"/>
          <w:szCs w:val="23"/>
        </w:rPr>
        <w:t>. FOP is a genetic disorder that can also occur sporadically. In FOP there are heterotopic ossifications, which is the presence of bone in soft tissue where bone normally doesn’t exist, and skeletal malformations. This disease is not specific to any race, sex, or habitat.  Most common areas of occurrence for FOP is in the fusion of cervical vertebrae and limited opening of the mouth due to the temporal-mandibular joint. Physical therapy is the most common form of treatment and management of FOP.</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Although these two diseases are very different in the ways they affect the bones, and they are also similar. OI causes the bones to become less dense and more easily do break. FOP causes bone tissue to grow in abnormal locations. They are similar in the fact that they have genetic factors and affect bone tissue. Treatments vary along with the forms of diagnosis.</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References:</w:t>
      </w:r>
    </w:p>
    <w:p w:rsidR="00B41DA1" w:rsidRDefault="00B41DA1" w:rsidP="00B41DA1">
      <w:pPr>
        <w:pStyle w:val="NormalWeb"/>
        <w:shd w:val="clear" w:color="auto" w:fill="E6E6E6"/>
        <w:spacing w:before="0" w:beforeAutospacing="0" w:after="0" w:afterAutospacing="0"/>
        <w:ind w:left="2820" w:hanging="600"/>
        <w:textAlignment w:val="baseline"/>
        <w:rPr>
          <w:rFonts w:ascii="Georgia" w:hAnsi="Georgia"/>
          <w:color w:val="111111"/>
          <w:sz w:val="23"/>
          <w:szCs w:val="23"/>
        </w:rPr>
      </w:pPr>
      <w:proofErr w:type="spellStart"/>
      <w:r>
        <w:rPr>
          <w:rFonts w:ascii="Helvetica" w:hAnsi="Helvetica"/>
          <w:color w:val="333333"/>
          <w:sz w:val="20"/>
          <w:szCs w:val="20"/>
          <w:bdr w:val="none" w:sz="0" w:space="0" w:color="auto" w:frame="1"/>
        </w:rPr>
        <w:t>Barišić</w:t>
      </w:r>
      <w:proofErr w:type="spellEnd"/>
      <w:r>
        <w:rPr>
          <w:rFonts w:ascii="Helvetica" w:hAnsi="Helvetica"/>
          <w:color w:val="333333"/>
          <w:sz w:val="20"/>
          <w:szCs w:val="20"/>
          <w:bdr w:val="none" w:sz="0" w:space="0" w:color="auto" w:frame="1"/>
        </w:rPr>
        <w:t xml:space="preserve">, I., </w:t>
      </w:r>
      <w:proofErr w:type="spellStart"/>
      <w:r>
        <w:rPr>
          <w:rFonts w:ascii="Helvetica" w:hAnsi="Helvetica"/>
          <w:color w:val="333333"/>
          <w:sz w:val="20"/>
          <w:szCs w:val="20"/>
          <w:bdr w:val="none" w:sz="0" w:space="0" w:color="auto" w:frame="1"/>
        </w:rPr>
        <w:t>Turkalj</w:t>
      </w:r>
      <w:proofErr w:type="spellEnd"/>
      <w:r>
        <w:rPr>
          <w:rFonts w:ascii="Helvetica" w:hAnsi="Helvetica"/>
          <w:color w:val="333333"/>
          <w:sz w:val="20"/>
          <w:szCs w:val="20"/>
          <w:bdr w:val="none" w:sz="0" w:space="0" w:color="auto" w:frame="1"/>
        </w:rPr>
        <w:t xml:space="preserve">, M., &amp; </w:t>
      </w:r>
      <w:proofErr w:type="spellStart"/>
      <w:r>
        <w:rPr>
          <w:rFonts w:ascii="Helvetica" w:hAnsi="Helvetica"/>
          <w:color w:val="333333"/>
          <w:sz w:val="20"/>
          <w:szCs w:val="20"/>
          <w:bdr w:val="none" w:sz="0" w:space="0" w:color="auto" w:frame="1"/>
        </w:rPr>
        <w:t>Primorac</w:t>
      </w:r>
      <w:proofErr w:type="spellEnd"/>
      <w:r>
        <w:rPr>
          <w:rFonts w:ascii="Helvetica" w:hAnsi="Helvetica"/>
          <w:color w:val="333333"/>
          <w:sz w:val="20"/>
          <w:szCs w:val="20"/>
          <w:bdr w:val="none" w:sz="0" w:space="0" w:color="auto" w:frame="1"/>
        </w:rPr>
        <w:t>, D. (2017). Osteogenesis imperfecta: clinical assessment and medical treatment. </w:t>
      </w:r>
      <w:proofErr w:type="spellStart"/>
      <w:r>
        <w:rPr>
          <w:rFonts w:ascii="inherit" w:hAnsi="inherit"/>
          <w:i/>
          <w:iCs/>
          <w:color w:val="333333"/>
          <w:sz w:val="20"/>
          <w:szCs w:val="20"/>
          <w:bdr w:val="none" w:sz="0" w:space="0" w:color="auto" w:frame="1"/>
        </w:rPr>
        <w:t>Paediatria</w:t>
      </w:r>
      <w:proofErr w:type="spellEnd"/>
      <w:r>
        <w:rPr>
          <w:rFonts w:ascii="inherit" w:hAnsi="inherit"/>
          <w:i/>
          <w:iCs/>
          <w:color w:val="333333"/>
          <w:sz w:val="20"/>
          <w:szCs w:val="20"/>
          <w:bdr w:val="none" w:sz="0" w:space="0" w:color="auto" w:frame="1"/>
        </w:rPr>
        <w:t xml:space="preserve"> </w:t>
      </w:r>
      <w:proofErr w:type="spellStart"/>
      <w:r>
        <w:rPr>
          <w:rFonts w:ascii="inherit" w:hAnsi="inherit"/>
          <w:i/>
          <w:iCs/>
          <w:color w:val="333333"/>
          <w:sz w:val="20"/>
          <w:szCs w:val="20"/>
          <w:bdr w:val="none" w:sz="0" w:space="0" w:color="auto" w:frame="1"/>
        </w:rPr>
        <w:t>Croatica</w:t>
      </w:r>
      <w:proofErr w:type="spellEnd"/>
      <w:r>
        <w:rPr>
          <w:rFonts w:ascii="Helvetica" w:hAnsi="Helvetica"/>
          <w:color w:val="333333"/>
          <w:sz w:val="20"/>
          <w:szCs w:val="20"/>
          <w:bdr w:val="none" w:sz="0" w:space="0" w:color="auto" w:frame="1"/>
        </w:rPr>
        <w:t>, </w:t>
      </w:r>
      <w:r>
        <w:rPr>
          <w:rFonts w:ascii="inherit" w:hAnsi="inherit"/>
          <w:i/>
          <w:iCs/>
          <w:color w:val="333333"/>
          <w:sz w:val="20"/>
          <w:szCs w:val="20"/>
          <w:bdr w:val="none" w:sz="0" w:space="0" w:color="auto" w:frame="1"/>
        </w:rPr>
        <w:t>61</w:t>
      </w:r>
      <w:r>
        <w:rPr>
          <w:rFonts w:ascii="Helvetica" w:hAnsi="Helvetica"/>
          <w:color w:val="333333"/>
          <w:sz w:val="20"/>
          <w:szCs w:val="20"/>
          <w:bdr w:val="none" w:sz="0" w:space="0" w:color="auto" w:frame="1"/>
        </w:rPr>
        <w:t>(3), 97–105. https://doi.org.ezproxy.faytechcc.edu/10.13112/PC.2017.14</w:t>
      </w:r>
    </w:p>
    <w:p w:rsidR="00B41DA1" w:rsidRDefault="00B41DA1" w:rsidP="00B41DA1">
      <w:pPr>
        <w:pStyle w:val="NormalWeb"/>
        <w:shd w:val="clear" w:color="auto" w:fill="E6E6E6"/>
        <w:spacing w:before="0" w:beforeAutospacing="0" w:after="240" w:afterAutospacing="0"/>
        <w:ind w:left="2820" w:hanging="600"/>
        <w:textAlignment w:val="baseline"/>
        <w:rPr>
          <w:rFonts w:ascii="Georgia" w:hAnsi="Georgia"/>
          <w:color w:val="111111"/>
          <w:sz w:val="23"/>
          <w:szCs w:val="23"/>
        </w:rPr>
      </w:pPr>
      <w:r>
        <w:rPr>
          <w:rFonts w:ascii="Georgia" w:hAnsi="Georgia"/>
          <w:color w:val="111111"/>
          <w:sz w:val="23"/>
          <w:szCs w:val="23"/>
        </w:rPr>
        <w:t> </w:t>
      </w:r>
    </w:p>
    <w:p w:rsidR="00B41DA1" w:rsidRDefault="00B41DA1" w:rsidP="00B41DA1">
      <w:pPr>
        <w:pStyle w:val="NormalWeb"/>
        <w:shd w:val="clear" w:color="auto" w:fill="E6E6E6"/>
        <w:spacing w:before="0" w:beforeAutospacing="0" w:after="0" w:afterAutospacing="0"/>
        <w:ind w:left="2820" w:hanging="600"/>
        <w:textAlignment w:val="baseline"/>
        <w:rPr>
          <w:rFonts w:ascii="Georgia" w:hAnsi="Georgia"/>
          <w:color w:val="111111"/>
          <w:sz w:val="23"/>
          <w:szCs w:val="23"/>
        </w:rPr>
      </w:pPr>
      <w:r>
        <w:rPr>
          <w:rFonts w:ascii="Helvetica" w:hAnsi="Helvetica"/>
          <w:color w:val="333333"/>
          <w:sz w:val="20"/>
          <w:szCs w:val="20"/>
          <w:bdr w:val="none" w:sz="0" w:space="0" w:color="auto" w:frame="1"/>
        </w:rPr>
        <w:t xml:space="preserve">Solomon, D., </w:t>
      </w:r>
      <w:proofErr w:type="spellStart"/>
      <w:r>
        <w:rPr>
          <w:rFonts w:ascii="Helvetica" w:hAnsi="Helvetica"/>
          <w:color w:val="333333"/>
          <w:sz w:val="20"/>
          <w:szCs w:val="20"/>
          <w:bdr w:val="none" w:sz="0" w:space="0" w:color="auto" w:frame="1"/>
        </w:rPr>
        <w:t>Wakjira</w:t>
      </w:r>
      <w:proofErr w:type="spellEnd"/>
      <w:r>
        <w:rPr>
          <w:rFonts w:ascii="Helvetica" w:hAnsi="Helvetica"/>
          <w:color w:val="333333"/>
          <w:sz w:val="20"/>
          <w:szCs w:val="20"/>
          <w:bdr w:val="none" w:sz="0" w:space="0" w:color="auto" w:frame="1"/>
        </w:rPr>
        <w:t xml:space="preserve">, I., Hailu, D., &amp; </w:t>
      </w:r>
      <w:proofErr w:type="spellStart"/>
      <w:r>
        <w:rPr>
          <w:rFonts w:ascii="Helvetica" w:hAnsi="Helvetica"/>
          <w:color w:val="333333"/>
          <w:sz w:val="20"/>
          <w:szCs w:val="20"/>
          <w:bdr w:val="none" w:sz="0" w:space="0" w:color="auto" w:frame="1"/>
        </w:rPr>
        <w:t>Gorfy</w:t>
      </w:r>
      <w:proofErr w:type="spellEnd"/>
      <w:r>
        <w:rPr>
          <w:rFonts w:ascii="Helvetica" w:hAnsi="Helvetica"/>
          <w:color w:val="333333"/>
          <w:sz w:val="20"/>
          <w:szCs w:val="20"/>
          <w:bdr w:val="none" w:sz="0" w:space="0" w:color="auto" w:frame="1"/>
        </w:rPr>
        <w:t xml:space="preserve">, Y. (2018). Fibroplasia Ossificans </w:t>
      </w:r>
      <w:proofErr w:type="spellStart"/>
      <w:r>
        <w:rPr>
          <w:rFonts w:ascii="Helvetica" w:hAnsi="Helvetica"/>
          <w:color w:val="333333"/>
          <w:sz w:val="20"/>
          <w:szCs w:val="20"/>
          <w:bdr w:val="none" w:sz="0" w:space="0" w:color="auto" w:frame="1"/>
        </w:rPr>
        <w:t>Progressiva</w:t>
      </w:r>
      <w:proofErr w:type="spellEnd"/>
      <w:r>
        <w:rPr>
          <w:rFonts w:ascii="Helvetica" w:hAnsi="Helvetica"/>
          <w:color w:val="333333"/>
          <w:sz w:val="20"/>
          <w:szCs w:val="20"/>
          <w:bdr w:val="none" w:sz="0" w:space="0" w:color="auto" w:frame="1"/>
        </w:rPr>
        <w:t>: A Case Report of a Rare Disease Entity. </w:t>
      </w:r>
      <w:r>
        <w:rPr>
          <w:rFonts w:ascii="inherit" w:hAnsi="inherit"/>
          <w:i/>
          <w:iCs/>
          <w:color w:val="333333"/>
          <w:sz w:val="20"/>
          <w:szCs w:val="20"/>
          <w:bdr w:val="none" w:sz="0" w:space="0" w:color="auto" w:frame="1"/>
        </w:rPr>
        <w:t>Ethiopian Journal of Health Sciences</w:t>
      </w:r>
      <w:r>
        <w:rPr>
          <w:rFonts w:ascii="Helvetica" w:hAnsi="Helvetica"/>
          <w:color w:val="333333"/>
          <w:sz w:val="20"/>
          <w:szCs w:val="20"/>
          <w:bdr w:val="none" w:sz="0" w:space="0" w:color="auto" w:frame="1"/>
        </w:rPr>
        <w:t>, </w:t>
      </w:r>
      <w:r>
        <w:rPr>
          <w:rFonts w:ascii="inherit" w:hAnsi="inherit"/>
          <w:i/>
          <w:iCs/>
          <w:color w:val="333333"/>
          <w:sz w:val="20"/>
          <w:szCs w:val="20"/>
          <w:bdr w:val="none" w:sz="0" w:space="0" w:color="auto" w:frame="1"/>
        </w:rPr>
        <w:t>28</w:t>
      </w:r>
      <w:r>
        <w:rPr>
          <w:rFonts w:ascii="Helvetica" w:hAnsi="Helvetica"/>
          <w:color w:val="333333"/>
          <w:sz w:val="20"/>
          <w:szCs w:val="20"/>
          <w:bdr w:val="none" w:sz="0" w:space="0" w:color="auto" w:frame="1"/>
        </w:rPr>
        <w:t>(4), 513–516. </w:t>
      </w:r>
      <w:hyperlink r:id="rId6" w:history="1">
        <w:r>
          <w:rPr>
            <w:rStyle w:val="Hyperlink"/>
            <w:rFonts w:ascii="inherit" w:hAnsi="inherit"/>
            <w:color w:val="00748B"/>
            <w:sz w:val="20"/>
            <w:szCs w:val="20"/>
            <w:bdr w:val="none" w:sz="0" w:space="0" w:color="auto" w:frame="1"/>
          </w:rPr>
          <w:t>https://doi.org.ezproxy.faytechcc.edu/10.4314/ejhs.v28i4.17</w:t>
        </w:r>
      </w:hyperlink>
    </w:p>
    <w:p w:rsidR="00B41DA1" w:rsidRDefault="00B41DA1" w:rsidP="00B41DA1">
      <w:pPr>
        <w:pStyle w:val="NormalWeb"/>
        <w:shd w:val="clear" w:color="auto" w:fill="E6E6E6"/>
        <w:spacing w:before="0" w:beforeAutospacing="0" w:after="0" w:afterAutospacing="0"/>
        <w:ind w:left="2820" w:hanging="600"/>
        <w:textAlignment w:val="baseline"/>
        <w:rPr>
          <w:rFonts w:ascii="Georgia" w:hAnsi="Georgia"/>
          <w:color w:val="111111"/>
          <w:sz w:val="23"/>
          <w:szCs w:val="23"/>
        </w:rPr>
      </w:pPr>
      <w:r>
        <w:rPr>
          <w:rFonts w:ascii="Helvetica" w:hAnsi="Helvetica"/>
          <w:color w:val="333333"/>
          <w:sz w:val="20"/>
          <w:szCs w:val="20"/>
          <w:bdr w:val="none" w:sz="0" w:space="0" w:color="auto" w:frame="1"/>
        </w:rPr>
        <w:t> </w:t>
      </w:r>
    </w:p>
    <w:p w:rsidR="00B41DA1" w:rsidRDefault="00B41DA1" w:rsidP="00B41DA1">
      <w:pPr>
        <w:pStyle w:val="NormalWeb"/>
        <w:shd w:val="clear" w:color="auto" w:fill="E6E6E6"/>
        <w:spacing w:before="0" w:beforeAutospacing="0" w:after="0" w:afterAutospacing="0"/>
        <w:ind w:left="2160"/>
        <w:rPr>
          <w:rFonts w:ascii="Georgia" w:hAnsi="Georgia"/>
          <w:color w:val="111111"/>
          <w:sz w:val="23"/>
          <w:szCs w:val="23"/>
        </w:rPr>
      </w:pPr>
      <w:r>
        <w:rPr>
          <w:rFonts w:ascii="inherit" w:hAnsi="inherit"/>
          <w:color w:val="333333"/>
          <w:sz w:val="23"/>
          <w:szCs w:val="23"/>
          <w:bdr w:val="none" w:sz="0" w:space="0" w:color="auto" w:frame="1"/>
          <w:shd w:val="clear" w:color="auto" w:fill="FFFFFF"/>
        </w:rPr>
        <w:t xml:space="preserve">Shehab, D., </w:t>
      </w:r>
      <w:proofErr w:type="spellStart"/>
      <w:r>
        <w:rPr>
          <w:rFonts w:ascii="inherit" w:hAnsi="inherit"/>
          <w:color w:val="333333"/>
          <w:sz w:val="23"/>
          <w:szCs w:val="23"/>
          <w:bdr w:val="none" w:sz="0" w:space="0" w:color="auto" w:frame="1"/>
          <w:shd w:val="clear" w:color="auto" w:fill="FFFFFF"/>
        </w:rPr>
        <w:t>Elgazzar</w:t>
      </w:r>
      <w:proofErr w:type="spellEnd"/>
      <w:r>
        <w:rPr>
          <w:rFonts w:ascii="inherit" w:hAnsi="inherit"/>
          <w:color w:val="333333"/>
          <w:sz w:val="23"/>
          <w:szCs w:val="23"/>
          <w:bdr w:val="none" w:sz="0" w:space="0" w:color="auto" w:frame="1"/>
          <w:shd w:val="clear" w:color="auto" w:fill="FFFFFF"/>
        </w:rPr>
        <w:t>, A. H., &amp; Collier, B. D. (2002, March). Heterotopic ossification. Retrieved from https://www.ncbi.nlm.nih.gov/pubmed/11884494</w:t>
      </w:r>
    </w:p>
    <w:p w:rsidR="00B41DA1" w:rsidRDefault="00B41DA1" w:rsidP="00B41DA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w:t>
      </w:r>
    </w:p>
    <w:p w:rsidR="00FA648D" w:rsidRDefault="0056536F"/>
    <w:sectPr w:rsidR="00FA64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36F" w:rsidRDefault="0056536F" w:rsidP="00B41DA1">
      <w:pPr>
        <w:spacing w:after="0" w:line="240" w:lineRule="auto"/>
      </w:pPr>
      <w:r>
        <w:separator/>
      </w:r>
    </w:p>
  </w:endnote>
  <w:endnote w:type="continuationSeparator" w:id="0">
    <w:p w:rsidR="0056536F" w:rsidRDefault="0056536F" w:rsidP="00B41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36F" w:rsidRDefault="0056536F" w:rsidP="00B41DA1">
      <w:pPr>
        <w:spacing w:after="0" w:line="240" w:lineRule="auto"/>
      </w:pPr>
      <w:r>
        <w:separator/>
      </w:r>
    </w:p>
  </w:footnote>
  <w:footnote w:type="continuationSeparator" w:id="0">
    <w:p w:rsidR="0056536F" w:rsidRDefault="0056536F" w:rsidP="00B41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DA1" w:rsidRDefault="00B41D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A1"/>
    <w:rsid w:val="00204B43"/>
    <w:rsid w:val="0056536F"/>
    <w:rsid w:val="005C3B6E"/>
    <w:rsid w:val="0062432A"/>
    <w:rsid w:val="00672B17"/>
    <w:rsid w:val="007915BD"/>
    <w:rsid w:val="00B41DA1"/>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D26B"/>
  <w15:chartTrackingRefBased/>
  <w15:docId w15:val="{9BB3371D-FB31-430F-A7F2-EDC3E091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1DA1"/>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B4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DA1"/>
  </w:style>
  <w:style w:type="paragraph" w:styleId="Footer">
    <w:name w:val="footer"/>
    <w:basedOn w:val="Normal"/>
    <w:link w:val="FooterChar"/>
    <w:uiPriority w:val="99"/>
    <w:unhideWhenUsed/>
    <w:rsid w:val="00B4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DA1"/>
  </w:style>
  <w:style w:type="character" w:styleId="Hyperlink">
    <w:name w:val="Hyperlink"/>
    <w:basedOn w:val="DefaultParagraphFont"/>
    <w:uiPriority w:val="99"/>
    <w:semiHidden/>
    <w:unhideWhenUsed/>
    <w:rsid w:val="00B41D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782383">
      <w:bodyDiv w:val="1"/>
      <w:marLeft w:val="0"/>
      <w:marRight w:val="0"/>
      <w:marTop w:val="0"/>
      <w:marBottom w:val="0"/>
      <w:divBdr>
        <w:top w:val="none" w:sz="0" w:space="0" w:color="auto"/>
        <w:left w:val="none" w:sz="0" w:space="0" w:color="auto"/>
        <w:bottom w:val="none" w:sz="0" w:space="0" w:color="auto"/>
        <w:right w:val="none" w:sz="0" w:space="0" w:color="auto"/>
      </w:divBdr>
    </w:div>
    <w:div w:id="164785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ezproxy.faytechcc.edu/10.4314/ejhs.v28i4.1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2019-03-14T17:20:00Z</dcterms:created>
  <dcterms:modified xsi:type="dcterms:W3CDTF">2019-03-14T17:24:00Z</dcterms:modified>
</cp:coreProperties>
</file>